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AEE2" w14:textId="3051DE0E" w:rsidR="008042BA" w:rsidRPr="008042BA" w:rsidRDefault="008042BA" w:rsidP="008042BA">
      <w:pPr>
        <w:jc w:val="center"/>
        <w:rPr>
          <w:b/>
          <w:bCs/>
          <w:u w:val="single"/>
        </w:rPr>
      </w:pPr>
      <w:r w:rsidRPr="008042BA">
        <w:rPr>
          <w:b/>
          <w:bCs/>
          <w:u w:val="single"/>
        </w:rPr>
        <w:t>Practice placement profile template</w:t>
      </w:r>
    </w:p>
    <w:p w14:paraId="4FC08BA9" w14:textId="77777777" w:rsidR="008042BA" w:rsidRPr="008042BA" w:rsidRDefault="008042BA" w:rsidP="008042BA"/>
    <w:p w14:paraId="4A63623D" w14:textId="058BCCD3" w:rsidR="008042BA" w:rsidRDefault="00130CF4" w:rsidP="0065108E">
      <w:r>
        <w:t xml:space="preserve">You should </w:t>
      </w:r>
      <w:r w:rsidR="0065108E">
        <w:t>use th</w:t>
      </w:r>
      <w:r>
        <w:t xml:space="preserve">e below </w:t>
      </w:r>
      <w:r w:rsidR="0065108E">
        <w:t xml:space="preserve">practice placement profile template to support </w:t>
      </w:r>
      <w:r w:rsidR="001F427A">
        <w:t>your application</w:t>
      </w:r>
      <w:r w:rsidR="0065108E">
        <w:t xml:space="preserve"> by focussing on the </w:t>
      </w:r>
      <w:r>
        <w:t xml:space="preserve">learning in practice </w:t>
      </w:r>
      <w:r w:rsidR="0065108E">
        <w:t xml:space="preserve">environment and the opportunities available to you to develop your knowledge, skills and behaviours as a competent and confident </w:t>
      </w:r>
      <w:r w:rsidR="009551D4">
        <w:t>prescriber. You</w:t>
      </w:r>
      <w:r w:rsidR="0065108E">
        <w:t xml:space="preserve"> can expand the rows in the table as necessary.</w:t>
      </w:r>
      <w:r w:rsidR="00B064AE">
        <w:t xml:space="preserve"> </w:t>
      </w:r>
      <w:r w:rsidR="00C36B2C">
        <w:t xml:space="preserve">If you type more than the space </w:t>
      </w:r>
      <w:r w:rsidR="00937626">
        <w:t>available,</w:t>
      </w:r>
      <w:r w:rsidR="00C36B2C">
        <w:t xml:space="preserve"> the rows will expand automatically.</w:t>
      </w:r>
    </w:p>
    <w:p w14:paraId="1AEE1229" w14:textId="77777777" w:rsidR="008042BA" w:rsidRPr="008042BA" w:rsidRDefault="008042BA" w:rsidP="0065108E">
      <w:pPr>
        <w:rPr>
          <w:bCs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08"/>
        <w:gridCol w:w="5126"/>
      </w:tblGrid>
      <w:tr w:rsidR="0065108E" w:rsidRPr="000E10F0" w14:paraId="1EA88258" w14:textId="77777777" w:rsidTr="008042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037C6" w14:textId="77777777" w:rsidR="0065108E" w:rsidRPr="000E10F0" w:rsidRDefault="0065108E" w:rsidP="008042BA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0E10F0">
              <w:rPr>
                <w:b/>
                <w:color w:val="FFFFFF" w:themeColor="background1"/>
              </w:rPr>
              <w:t>The professional learning environment</w:t>
            </w:r>
          </w:p>
        </w:tc>
      </w:tr>
      <w:tr w:rsidR="0065108E" w14:paraId="37B33BB5" w14:textId="77777777" w:rsidTr="008042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9D3486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What is the nature of the practice setting you will be working in and completing your learning in practice?</w:t>
            </w:r>
          </w:p>
          <w:p w14:paraId="46F4C841" w14:textId="77777777" w:rsidR="0065108E" w:rsidRPr="00F21F74" w:rsidRDefault="0065108E" w:rsidP="009D35F8">
            <w:pPr>
              <w:rPr>
                <w:szCs w:val="24"/>
              </w:rPr>
            </w:pPr>
            <w:r>
              <w:t xml:space="preserve">This should include </w:t>
            </w:r>
            <w:r w:rsidRPr="00F21F74">
              <w:t>the team structure and the attitudes to student learning</w:t>
            </w:r>
            <w:r>
              <w:t>.</w:t>
            </w:r>
          </w:p>
        </w:tc>
      </w:tr>
      <w:tr w:rsidR="0065108E" w14:paraId="7935546A" w14:textId="77777777" w:rsidTr="00C36B2C">
        <w:trPr>
          <w:trHeight w:val="11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292" w14:textId="77777777" w:rsidR="00952A6A" w:rsidRDefault="00952A6A" w:rsidP="009D35F8"/>
          <w:p w14:paraId="72065D47" w14:textId="05602DAE" w:rsidR="009A4635" w:rsidRDefault="009A4635" w:rsidP="009A4635"/>
        </w:tc>
      </w:tr>
      <w:tr w:rsidR="0065108E" w14:paraId="700F1BD5" w14:textId="77777777" w:rsidTr="008042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46ECE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What experience does your DPP, and the wider team, have in supporting education and training?</w:t>
            </w:r>
          </w:p>
          <w:p w14:paraId="754B97E5" w14:textId="77777777" w:rsidR="0065108E" w:rsidRPr="00130ACF" w:rsidRDefault="0065108E" w:rsidP="009D35F8">
            <w:r>
              <w:t xml:space="preserve">This should include </w:t>
            </w:r>
            <w:r w:rsidRPr="00130ACF">
              <w:t>how many non-medical prescribing students they have supervised before</w:t>
            </w:r>
            <w:r>
              <w:t>.</w:t>
            </w:r>
          </w:p>
        </w:tc>
      </w:tr>
      <w:tr w:rsidR="0065108E" w14:paraId="6B1C4F27" w14:textId="77777777" w:rsidTr="00C36B2C">
        <w:trPr>
          <w:trHeight w:val="98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A07" w14:textId="5659D940" w:rsidR="009551D4" w:rsidRDefault="009551D4" w:rsidP="009551D4"/>
          <w:p w14:paraId="0EABAD19" w14:textId="152C4E67" w:rsidR="00CD6C92" w:rsidRDefault="001A4D2B" w:rsidP="009D35F8">
            <w:r>
              <w:t>.</w:t>
            </w:r>
          </w:p>
        </w:tc>
      </w:tr>
      <w:tr w:rsidR="0065108E" w:rsidRPr="00E42DAC" w14:paraId="2AB94E0E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14:paraId="3815786A" w14:textId="77777777" w:rsidR="0065108E" w:rsidRPr="00E42DAC" w:rsidRDefault="0065108E" w:rsidP="0065108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E42DAC">
              <w:rPr>
                <w:b/>
                <w:color w:val="FFFFFF" w:themeColor="background1"/>
              </w:rPr>
              <w:t>Facilitation of your learning</w:t>
            </w:r>
          </w:p>
        </w:tc>
      </w:tr>
      <w:tr w:rsidR="0065108E" w14:paraId="30D07342" w14:textId="77777777" w:rsidTr="008042BA">
        <w:trPr>
          <w:trHeight w:val="197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hideMark/>
          </w:tcPr>
          <w:p w14:paraId="21F436DF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What time will you and your DPP set aside for teaching and learning, and how will you structure this over the programme?</w:t>
            </w:r>
          </w:p>
          <w:p w14:paraId="30E9BCF0" w14:textId="29F8959A" w:rsidR="0065108E" w:rsidRDefault="0065108E" w:rsidP="009D35F8">
            <w:r w:rsidRPr="00F21F74">
              <w:t xml:space="preserve">This should include meetings, structured learning, </w:t>
            </w:r>
            <w:r w:rsidR="008042BA" w:rsidRPr="00F21F74">
              <w:t>discus</w:t>
            </w:r>
            <w:r w:rsidR="008042BA">
              <w:t>sions,</w:t>
            </w:r>
            <w:r>
              <w:t xml:space="preserve"> and supervised learning in practice (with your DPP).</w:t>
            </w:r>
          </w:p>
          <w:p w14:paraId="1202184F" w14:textId="708D9880" w:rsidR="0065108E" w:rsidRDefault="0065108E" w:rsidP="009D35F8">
            <w:r>
              <w:t>If you are planning on spending 100% of your supervised learning in practice</w:t>
            </w:r>
            <w:r w:rsidR="008042BA">
              <w:t xml:space="preserve"> hours</w:t>
            </w:r>
            <w:r>
              <w:t xml:space="preserve"> with your DPP* you should reflect on how you might identify other supervisors to spend time with to help broaden your experience during the programme (see next question).</w:t>
            </w:r>
          </w:p>
          <w:p w14:paraId="756B4F5C" w14:textId="77777777" w:rsidR="0065108E" w:rsidRPr="001E0410" w:rsidRDefault="0065108E" w:rsidP="009D35F8">
            <w:pPr>
              <w:rPr>
                <w:i/>
                <w:iCs/>
              </w:rPr>
            </w:pPr>
            <w:r w:rsidRPr="0090355A">
              <w:rPr>
                <w:i/>
                <w:iCs/>
              </w:rPr>
              <w:t>(*for nurses this is the practice supervisor and practice assessor combined)</w:t>
            </w:r>
          </w:p>
        </w:tc>
      </w:tr>
      <w:tr w:rsidR="0065108E" w14:paraId="588C91E8" w14:textId="77777777" w:rsidTr="00C36B2C">
        <w:trPr>
          <w:trHeight w:val="1276"/>
          <w:jc w:val="center"/>
        </w:trPr>
        <w:tc>
          <w:tcPr>
            <w:tcW w:w="9634" w:type="dxa"/>
            <w:gridSpan w:val="2"/>
          </w:tcPr>
          <w:p w14:paraId="47E2881D" w14:textId="31143F3E" w:rsidR="003A11B3" w:rsidRDefault="003A11B3" w:rsidP="0064683B"/>
        </w:tc>
      </w:tr>
      <w:tr w:rsidR="0065108E" w14:paraId="7101D773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hideMark/>
          </w:tcPr>
          <w:p w14:paraId="23C6552A" w14:textId="77777777" w:rsidR="0065108E" w:rsidRPr="00902389" w:rsidRDefault="0065108E" w:rsidP="009D35F8">
            <w:pPr>
              <w:rPr>
                <w:b/>
              </w:rPr>
            </w:pPr>
            <w:r w:rsidRPr="00902389">
              <w:rPr>
                <w:b/>
              </w:rPr>
              <w:t>What time will you need to set aside for teaching and learning with other supervisors and how will you structure this over the programme?</w:t>
            </w:r>
          </w:p>
          <w:p w14:paraId="0ABDE49C" w14:textId="2A2BFDE7" w:rsidR="0065108E" w:rsidRDefault="0065108E" w:rsidP="009D35F8">
            <w:r w:rsidRPr="00902389">
              <w:t xml:space="preserve">This should include meetings, structured learning, </w:t>
            </w:r>
            <w:r w:rsidR="008042BA" w:rsidRPr="00902389">
              <w:t>discussions,</w:t>
            </w:r>
            <w:r w:rsidRPr="00902389">
              <w:t xml:space="preserve"> and </w:t>
            </w:r>
            <w:r>
              <w:t xml:space="preserve">supervised </w:t>
            </w:r>
            <w:r w:rsidRPr="00902389">
              <w:t>learning in practice</w:t>
            </w:r>
            <w:r>
              <w:t xml:space="preserve"> (not with your DPP)</w:t>
            </w:r>
            <w:r w:rsidRPr="00902389">
              <w:t>.</w:t>
            </w:r>
          </w:p>
          <w:p w14:paraId="31F7D890" w14:textId="628896EB" w:rsidR="0065108E" w:rsidRDefault="0065108E" w:rsidP="009D35F8">
            <w:r w:rsidRPr="00902389">
              <w:t>How will you agree with your D</w:t>
            </w:r>
            <w:r>
              <w:t>P</w:t>
            </w:r>
            <w:r w:rsidRPr="00902389">
              <w:t xml:space="preserve">P which supervisors to approach </w:t>
            </w:r>
            <w:r>
              <w:t xml:space="preserve">to spend time with </w:t>
            </w:r>
            <w:r w:rsidRPr="00902389">
              <w:t>and how will your D</w:t>
            </w:r>
            <w:r>
              <w:t>P</w:t>
            </w:r>
            <w:r w:rsidRPr="00902389">
              <w:t xml:space="preserve">P monitor your progress when they are not directly supervising you?  If you anticipate spending less than </w:t>
            </w:r>
            <w:r>
              <w:t>33</w:t>
            </w:r>
            <w:r w:rsidRPr="00902389">
              <w:t xml:space="preserve">% of your </w:t>
            </w:r>
            <w:r w:rsidR="008042BA">
              <w:t>hours</w:t>
            </w:r>
            <w:r>
              <w:t xml:space="preserve"> of supervised learning in practice</w:t>
            </w:r>
            <w:r w:rsidRPr="00902389">
              <w:t xml:space="preserve"> </w:t>
            </w:r>
            <w:r>
              <w:t xml:space="preserve">with </w:t>
            </w:r>
            <w:r w:rsidRPr="00902389">
              <w:t>your D</w:t>
            </w:r>
            <w:r>
              <w:t>P</w:t>
            </w:r>
            <w:r w:rsidRPr="00902389">
              <w:t>P</w:t>
            </w:r>
            <w:r>
              <w:t>*</w:t>
            </w:r>
            <w:r w:rsidRPr="00902389">
              <w:t xml:space="preserve"> you will need to discuss this with a member of the programme team.</w:t>
            </w:r>
          </w:p>
          <w:p w14:paraId="0C3BE661" w14:textId="0CB02C36" w:rsidR="0065108E" w:rsidRPr="00902389" w:rsidRDefault="0065108E" w:rsidP="009D35F8">
            <w:r w:rsidRPr="00A4306E">
              <w:rPr>
                <w:i/>
                <w:iCs/>
              </w:rPr>
              <w:t xml:space="preserve">(*for nurses this is the practice supervisor and practice assessor </w:t>
            </w:r>
            <w:r w:rsidR="00A4306E" w:rsidRPr="00A4306E">
              <w:rPr>
                <w:i/>
                <w:iCs/>
              </w:rPr>
              <w:t>combined, although only the DPP can sign off competencies)</w:t>
            </w:r>
            <w:r w:rsidRPr="00A4306E">
              <w:rPr>
                <w:i/>
                <w:iCs/>
              </w:rPr>
              <w:t>)</w:t>
            </w:r>
          </w:p>
        </w:tc>
      </w:tr>
      <w:tr w:rsidR="0065108E" w14:paraId="6F3122F8" w14:textId="77777777" w:rsidTr="00C36B2C">
        <w:trPr>
          <w:trHeight w:val="1698"/>
          <w:jc w:val="center"/>
        </w:trPr>
        <w:tc>
          <w:tcPr>
            <w:tcW w:w="9634" w:type="dxa"/>
            <w:gridSpan w:val="2"/>
          </w:tcPr>
          <w:p w14:paraId="6EB34A2A" w14:textId="3C03E24D" w:rsidR="00EF47A6" w:rsidRDefault="00EF47A6" w:rsidP="009D35F8"/>
        </w:tc>
      </w:tr>
      <w:tr w:rsidR="0065108E" w14:paraId="0E76BC48" w14:textId="77777777" w:rsidTr="008042BA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76BB8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lastRenderedPageBreak/>
              <w:t>What other learning opportunities and experiences are available which do not form part of your supervised learning in practice hours?</w:t>
            </w:r>
          </w:p>
          <w:p w14:paraId="5C8C53C6" w14:textId="77777777" w:rsidR="0065108E" w:rsidRPr="00F21F74" w:rsidRDefault="0065108E" w:rsidP="009D35F8">
            <w:r w:rsidRPr="00F21F74">
              <w:t>This might include training events</w:t>
            </w:r>
            <w:r>
              <w:t xml:space="preserve"> and/or</w:t>
            </w:r>
            <w:r w:rsidRPr="00F21F74">
              <w:t xml:space="preserve"> learning with other prescribing students</w:t>
            </w:r>
            <w:r>
              <w:t>, other healthcare students and within the multidisciplinary team.</w:t>
            </w:r>
          </w:p>
        </w:tc>
      </w:tr>
      <w:tr w:rsidR="0065108E" w14:paraId="397A43EB" w14:textId="77777777" w:rsidTr="00C36B2C">
        <w:trPr>
          <w:trHeight w:val="1855"/>
          <w:jc w:val="center"/>
        </w:trPr>
        <w:tc>
          <w:tcPr>
            <w:tcW w:w="9634" w:type="dxa"/>
            <w:gridSpan w:val="2"/>
          </w:tcPr>
          <w:p w14:paraId="7C21D877" w14:textId="1A692576" w:rsidR="007A7496" w:rsidRDefault="007A7496" w:rsidP="009D35F8">
            <w:r>
              <w:t xml:space="preserve"> </w:t>
            </w:r>
          </w:p>
        </w:tc>
      </w:tr>
      <w:tr w:rsidR="0065108E" w14:paraId="65B0AD04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228C5D6C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How do you plan on studying for the programme whilst also managing your work and home life?</w:t>
            </w:r>
          </w:p>
          <w:p w14:paraId="7DE8C3E9" w14:textId="77777777" w:rsidR="0065108E" w:rsidRPr="00AA5B1C" w:rsidRDefault="0065108E" w:rsidP="009D35F8">
            <w:r w:rsidRPr="00E85A6C">
              <w:t>If it is a long time since your last period of academic study</w:t>
            </w:r>
            <w:r>
              <w:t>,</w:t>
            </w:r>
            <w:r w:rsidRPr="00E85A6C">
              <w:t xml:space="preserve"> what strategies have you considered for preparing for the </w:t>
            </w:r>
            <w:r>
              <w:t>programme?  If you have not done OSCEs before, or sat formal University examinations for some time, you may wish to consider this in advance.</w:t>
            </w:r>
          </w:p>
        </w:tc>
      </w:tr>
      <w:tr w:rsidR="0065108E" w14:paraId="4A2CD785" w14:textId="77777777" w:rsidTr="00C36B2C">
        <w:trPr>
          <w:trHeight w:val="1721"/>
          <w:jc w:val="center"/>
        </w:trPr>
        <w:tc>
          <w:tcPr>
            <w:tcW w:w="9634" w:type="dxa"/>
            <w:gridSpan w:val="2"/>
          </w:tcPr>
          <w:p w14:paraId="45EA5788" w14:textId="3FF51DC5" w:rsidR="0091160A" w:rsidRDefault="0091160A" w:rsidP="0091160A">
            <w:r>
              <w:t xml:space="preserve">. </w:t>
            </w:r>
          </w:p>
        </w:tc>
      </w:tr>
      <w:tr w:rsidR="0065108E" w:rsidRPr="00902389" w14:paraId="13E34F7C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14:paraId="3554DE5C" w14:textId="77777777" w:rsidR="0065108E" w:rsidRPr="00902389" w:rsidRDefault="0065108E" w:rsidP="0065108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2389">
              <w:rPr>
                <w:b/>
                <w:color w:val="FFFFFF" w:themeColor="background1"/>
              </w:rPr>
              <w:t>Scope of practice</w:t>
            </w:r>
          </w:p>
        </w:tc>
      </w:tr>
      <w:tr w:rsidR="0065108E" w14:paraId="78488D22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26CF648" w14:textId="7777777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What is your specialist area of practice?</w:t>
            </w:r>
          </w:p>
          <w:p w14:paraId="7930DE67" w14:textId="77777777" w:rsidR="0065108E" w:rsidRDefault="0065108E" w:rsidP="009D35F8">
            <w:r>
              <w:t xml:space="preserve">This should include information on </w:t>
            </w:r>
            <w:r w:rsidRPr="006212A1">
              <w:t xml:space="preserve">which therapeutic areas and/or disease states you will be </w:t>
            </w:r>
            <w:r>
              <w:t xml:space="preserve">preparing to </w:t>
            </w:r>
            <w:r w:rsidRPr="006212A1">
              <w:t>prescrib</w:t>
            </w:r>
            <w:r>
              <w:t>e</w:t>
            </w:r>
            <w:r w:rsidRPr="006212A1">
              <w:t xml:space="preserve"> for</w:t>
            </w:r>
            <w:r>
              <w:t xml:space="preserve"> during the programme.  This is to help facilitate your studies and may be narrower than your anticipated area of practice once you have qualified.</w:t>
            </w:r>
          </w:p>
          <w:p w14:paraId="62D102BD" w14:textId="77777777" w:rsidR="0065108E" w:rsidRDefault="0065108E" w:rsidP="009D35F8">
            <w:r>
              <w:t>You will need to have a broad overarching area of practice, which will link the breadth of the different pieces of work over the programme, and then a more specific scope of practice, which will focus how you demonstrate the depth of your knowledge.</w:t>
            </w:r>
          </w:p>
          <w:p w14:paraId="0762E71A" w14:textId="77777777" w:rsidR="0065108E" w:rsidRPr="00A03889" w:rsidRDefault="0065108E" w:rsidP="009D35F8">
            <w:pPr>
              <w:rPr>
                <w:i/>
              </w:rPr>
            </w:pPr>
            <w:r w:rsidRPr="00A03889">
              <w:rPr>
                <w:i/>
              </w:rPr>
              <w:t xml:space="preserve">For example “cardiology, heart failure”, “paediatrics, </w:t>
            </w:r>
            <w:r>
              <w:rPr>
                <w:i/>
              </w:rPr>
              <w:t>asthma</w:t>
            </w:r>
            <w:r w:rsidRPr="00A03889">
              <w:rPr>
                <w:i/>
              </w:rPr>
              <w:t>”, “endocrinology, diabetes”.</w:t>
            </w:r>
          </w:p>
        </w:tc>
      </w:tr>
      <w:tr w:rsidR="0065108E" w:rsidRPr="00902389" w14:paraId="37D99805" w14:textId="77777777" w:rsidTr="008042BA">
        <w:trPr>
          <w:trHeight w:val="325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B5681" w14:textId="77777777" w:rsidR="0065108E" w:rsidRPr="00902389" w:rsidRDefault="0065108E" w:rsidP="009D35F8">
            <w:pPr>
              <w:rPr>
                <w:b/>
              </w:rPr>
            </w:pPr>
            <w:r w:rsidRPr="00902389">
              <w:rPr>
                <w:b/>
              </w:rPr>
              <w:t>Area of practice</w:t>
            </w:r>
            <w:r>
              <w:rPr>
                <w:b/>
              </w:rPr>
              <w:t>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3DCC" w14:textId="77777777" w:rsidR="0065108E" w:rsidRPr="00902389" w:rsidRDefault="0065108E" w:rsidP="009D35F8">
            <w:pPr>
              <w:rPr>
                <w:b/>
              </w:rPr>
            </w:pPr>
            <w:r w:rsidRPr="00902389">
              <w:rPr>
                <w:b/>
              </w:rPr>
              <w:t xml:space="preserve">Scope of practice: </w:t>
            </w:r>
          </w:p>
        </w:tc>
      </w:tr>
      <w:tr w:rsidR="0065108E" w14:paraId="194CD4AA" w14:textId="77777777" w:rsidTr="008042BA">
        <w:trPr>
          <w:trHeight w:val="429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AA6" w14:textId="3983D5AD" w:rsidR="0065108E" w:rsidRDefault="0065108E" w:rsidP="009D35F8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C2F" w14:textId="2F74915B" w:rsidR="0065108E" w:rsidRDefault="0065108E" w:rsidP="009D35F8"/>
        </w:tc>
      </w:tr>
      <w:tr w:rsidR="0065108E" w14:paraId="7DC3142F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33872C37" w14:textId="4E917B57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Which medicines will you focus</w:t>
            </w:r>
            <w:r w:rsidR="008042BA">
              <w:rPr>
                <w:b/>
              </w:rPr>
              <w:t xml:space="preserve"> </w:t>
            </w:r>
            <w:r>
              <w:rPr>
                <w:b/>
              </w:rPr>
              <w:t>on demonstrating competence for this programme?</w:t>
            </w:r>
          </w:p>
          <w:p w14:paraId="25A9CA50" w14:textId="7AEB0879" w:rsidR="0065108E" w:rsidRPr="001E492D" w:rsidRDefault="0065108E" w:rsidP="008042BA">
            <w:r>
              <w:rPr>
                <w:bCs/>
              </w:rPr>
              <w:t>P</w:t>
            </w:r>
            <w:r w:rsidRPr="0084268D">
              <w:rPr>
                <w:bCs/>
              </w:rPr>
              <w:t>lease list the individual medicines not the group</w:t>
            </w:r>
            <w:r>
              <w:rPr>
                <w:bCs/>
              </w:rPr>
              <w:t>.</w:t>
            </w:r>
            <w:r w:rsidR="008042BA">
              <w:rPr>
                <w:bCs/>
              </w:rPr>
              <w:t xml:space="preserve">  </w:t>
            </w:r>
            <w:r w:rsidRPr="001E492D">
              <w:t>We expect you to have a good knowledge of the medic</w:t>
            </w:r>
            <w:r>
              <w:t>in</w:t>
            </w:r>
            <w:r w:rsidRPr="001E492D">
              <w:t xml:space="preserve">es in your </w:t>
            </w:r>
            <w:r>
              <w:t>overarching area of practice and</w:t>
            </w:r>
            <w:r w:rsidRPr="001E492D">
              <w:t xml:space="preserve"> in-depth knowledge about th</w:t>
            </w:r>
            <w:r>
              <w:t>ose in your scope of practice.  The programme team will be looking for evidence you know the pharmacology of the medicines you include in this list.</w:t>
            </w:r>
          </w:p>
        </w:tc>
      </w:tr>
      <w:tr w:rsidR="0094255E" w14:paraId="02FD29A4" w14:textId="77777777" w:rsidTr="0003597F">
        <w:trPr>
          <w:trHeight w:val="1432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0260ABE6" w14:textId="51AF40AA" w:rsidR="00CE1FFF" w:rsidRDefault="00CE1FFF" w:rsidP="00527582">
            <w:pPr>
              <w:rPr>
                <w:b/>
              </w:rPr>
            </w:pPr>
          </w:p>
          <w:p w14:paraId="4B5096BF" w14:textId="59E45345" w:rsidR="00CE1FFF" w:rsidRPr="00527582" w:rsidRDefault="00CE1FFF" w:rsidP="00CE1FFF">
            <w:pPr>
              <w:ind w:left="720" w:hanging="720"/>
              <w:rPr>
                <w:b/>
              </w:rPr>
            </w:pPr>
          </w:p>
          <w:p w14:paraId="2047F134" w14:textId="448752F2" w:rsidR="00527582" w:rsidRDefault="00527582" w:rsidP="009D35F8">
            <w:pPr>
              <w:rPr>
                <w:b/>
              </w:rPr>
            </w:pPr>
          </w:p>
        </w:tc>
      </w:tr>
      <w:tr w:rsidR="0094255E" w14:paraId="1F36EB67" w14:textId="77777777" w:rsidTr="0094255E">
        <w:tblPrEx>
          <w:jc w:val="left"/>
        </w:tblPrEx>
        <w:tc>
          <w:tcPr>
            <w:tcW w:w="9634" w:type="dxa"/>
            <w:gridSpan w:val="2"/>
            <w:shd w:val="clear" w:color="auto" w:fill="D9D9D9" w:themeFill="background1" w:themeFillShade="D9"/>
          </w:tcPr>
          <w:p w14:paraId="692E871B" w14:textId="298A95BA" w:rsidR="0094255E" w:rsidRDefault="0094255E" w:rsidP="00ED6FC7">
            <w:pPr>
              <w:rPr>
                <w:b/>
              </w:rPr>
            </w:pPr>
            <w:r>
              <w:rPr>
                <w:b/>
              </w:rPr>
              <w:t>How will you apply your pharmacology learning to patient cases?</w:t>
            </w:r>
          </w:p>
          <w:p w14:paraId="39021045" w14:textId="10D74090" w:rsidR="0094255E" w:rsidRPr="001E492D" w:rsidRDefault="0094255E" w:rsidP="00ED6FC7">
            <w:r>
              <w:t>This might include discussions with your DPP or other supervisors and/or other self-directed study</w:t>
            </w:r>
          </w:p>
        </w:tc>
      </w:tr>
      <w:tr w:rsidR="0094255E" w14:paraId="07D6D46A" w14:textId="77777777" w:rsidTr="0003597F">
        <w:tblPrEx>
          <w:jc w:val="left"/>
        </w:tblPrEx>
        <w:trPr>
          <w:trHeight w:val="1298"/>
        </w:trPr>
        <w:tc>
          <w:tcPr>
            <w:tcW w:w="9634" w:type="dxa"/>
            <w:gridSpan w:val="2"/>
          </w:tcPr>
          <w:p w14:paraId="165794E8" w14:textId="77777777" w:rsidR="00C841C2" w:rsidRDefault="00C841C2" w:rsidP="00ED6FC7"/>
          <w:p w14:paraId="18F19B13" w14:textId="17CFB4CB" w:rsidR="00C841C2" w:rsidRDefault="00C841C2" w:rsidP="00ED6FC7"/>
        </w:tc>
      </w:tr>
      <w:tr w:rsidR="0065108E" w14:paraId="692736B4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39C54CC2" w14:textId="6AFF2A63" w:rsidR="0065108E" w:rsidRDefault="0065108E" w:rsidP="009D35F8">
            <w:pPr>
              <w:rPr>
                <w:b/>
              </w:rPr>
            </w:pPr>
            <w:r>
              <w:rPr>
                <w:b/>
              </w:rPr>
              <w:lastRenderedPageBreak/>
              <w:t>Which physical assessment skills do you need to be competent at performing?</w:t>
            </w:r>
          </w:p>
          <w:p w14:paraId="611E797A" w14:textId="42DCD605" w:rsidR="0065108E" w:rsidRPr="001E492D" w:rsidRDefault="0065108E" w:rsidP="009D35F8">
            <w:r>
              <w:t xml:space="preserve">This </w:t>
            </w:r>
            <w:r w:rsidRPr="001E492D">
              <w:t xml:space="preserve">covers the elements of </w:t>
            </w:r>
            <w:r>
              <w:t xml:space="preserve">physically </w:t>
            </w:r>
            <w:r w:rsidRPr="001E492D">
              <w:t>assessing patients with or without equipment</w:t>
            </w:r>
            <w:r w:rsidR="009551D4">
              <w:t>.</w:t>
            </w:r>
            <w:r w:rsidRPr="001E492D">
              <w:t xml:space="preserve">. </w:t>
            </w:r>
          </w:p>
        </w:tc>
      </w:tr>
      <w:tr w:rsidR="0065108E" w14:paraId="30022509" w14:textId="77777777" w:rsidTr="0003597F">
        <w:trPr>
          <w:trHeight w:val="1701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B1F" w14:textId="512AD599" w:rsidR="00BC0B78" w:rsidRPr="00BC0B78" w:rsidRDefault="00BC0B78" w:rsidP="009551D4">
            <w:pPr>
              <w:rPr>
                <w:b/>
              </w:rPr>
            </w:pPr>
          </w:p>
        </w:tc>
      </w:tr>
      <w:tr w:rsidR="0065108E" w14:paraId="22988993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D539CC4" w14:textId="28A9711E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How will your DPP/learning in practice supervisors assess your competence for the physical assessment skills you have listed?</w:t>
            </w:r>
            <w:r w:rsidR="00C36B2C">
              <w:rPr>
                <w:b/>
              </w:rPr>
              <w:t>*</w:t>
            </w:r>
          </w:p>
          <w:p w14:paraId="6BB1E484" w14:textId="77777777" w:rsidR="0065108E" w:rsidRPr="007F151D" w:rsidRDefault="0065108E" w:rsidP="009D35F8">
            <w:pPr>
              <w:rPr>
                <w:b/>
              </w:rPr>
            </w:pPr>
            <w:r>
              <w:t xml:space="preserve">Which of the workplace-based assessments could you use?  </w:t>
            </w:r>
            <w:r w:rsidRPr="00E16E35">
              <w:t>How will you develop your competence during the programme?</w:t>
            </w:r>
          </w:p>
        </w:tc>
      </w:tr>
      <w:tr w:rsidR="0065108E" w14:paraId="2094FB45" w14:textId="77777777" w:rsidTr="008042BA">
        <w:trPr>
          <w:trHeight w:val="1434"/>
          <w:jc w:val="center"/>
        </w:trPr>
        <w:tc>
          <w:tcPr>
            <w:tcW w:w="9634" w:type="dxa"/>
            <w:gridSpan w:val="2"/>
          </w:tcPr>
          <w:p w14:paraId="50E29C5A" w14:textId="2D0B5303" w:rsidR="0065108E" w:rsidRDefault="0065108E" w:rsidP="001017C1"/>
        </w:tc>
      </w:tr>
      <w:tr w:rsidR="0065108E" w14:paraId="2611EC9C" w14:textId="77777777" w:rsidTr="008042BA">
        <w:trPr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0E783FFD" w14:textId="2A82B4DF" w:rsidR="0065108E" w:rsidRDefault="0065108E" w:rsidP="009D35F8">
            <w:pPr>
              <w:rPr>
                <w:b/>
              </w:rPr>
            </w:pPr>
            <w:r>
              <w:rPr>
                <w:b/>
              </w:rPr>
              <w:t>Which test results do you need to be competent at interpreting and how will you DPP/learning in practice supervisors assess your competence?</w:t>
            </w:r>
          </w:p>
          <w:p w14:paraId="363B900C" w14:textId="77777777" w:rsidR="0065108E" w:rsidRPr="007F151D" w:rsidRDefault="0065108E" w:rsidP="009D35F8">
            <w:pPr>
              <w:rPr>
                <w:b/>
              </w:rPr>
            </w:pPr>
            <w:r>
              <w:t xml:space="preserve">Which of the workplace-based assessments could you use?  </w:t>
            </w:r>
            <w:r w:rsidRPr="00E16E35">
              <w:t>How will you develop your competence during the programme?</w:t>
            </w:r>
          </w:p>
        </w:tc>
      </w:tr>
      <w:tr w:rsidR="0065108E" w14:paraId="088A8FEA" w14:textId="77777777" w:rsidTr="005D0467">
        <w:trPr>
          <w:trHeight w:val="2547"/>
          <w:jc w:val="center"/>
        </w:trPr>
        <w:tc>
          <w:tcPr>
            <w:tcW w:w="9634" w:type="dxa"/>
            <w:gridSpan w:val="2"/>
          </w:tcPr>
          <w:p w14:paraId="18AEE4C1" w14:textId="34E7DBFA" w:rsidR="006B48FE" w:rsidRDefault="006B48FE" w:rsidP="006B48FE"/>
        </w:tc>
      </w:tr>
    </w:tbl>
    <w:p w14:paraId="17477A92" w14:textId="3FEB44EE" w:rsidR="004D6D38" w:rsidRDefault="004D6D38" w:rsidP="008042BA"/>
    <w:sectPr w:rsidR="004D6D38" w:rsidSect="00812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27E"/>
    <w:multiLevelType w:val="hybridMultilevel"/>
    <w:tmpl w:val="1DFA5726"/>
    <w:lvl w:ilvl="0" w:tplc="53AEC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1CFD"/>
    <w:multiLevelType w:val="hybridMultilevel"/>
    <w:tmpl w:val="91D88B50"/>
    <w:lvl w:ilvl="0" w:tplc="0E1E17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9427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20670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A809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AB1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22D0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63F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C24D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5877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870997464">
    <w:abstractNumId w:val="0"/>
  </w:num>
  <w:num w:numId="2" w16cid:durableId="5297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8E"/>
    <w:rsid w:val="0003597F"/>
    <w:rsid w:val="001017C1"/>
    <w:rsid w:val="00125E8C"/>
    <w:rsid w:val="00130CF4"/>
    <w:rsid w:val="001A4D2B"/>
    <w:rsid w:val="001F427A"/>
    <w:rsid w:val="00311B72"/>
    <w:rsid w:val="0036381C"/>
    <w:rsid w:val="003A11B3"/>
    <w:rsid w:val="004164DE"/>
    <w:rsid w:val="00441B61"/>
    <w:rsid w:val="004645A4"/>
    <w:rsid w:val="00484440"/>
    <w:rsid w:val="004D6D38"/>
    <w:rsid w:val="00527582"/>
    <w:rsid w:val="0059249A"/>
    <w:rsid w:val="005D0467"/>
    <w:rsid w:val="00621EB6"/>
    <w:rsid w:val="0064683B"/>
    <w:rsid w:val="0065108E"/>
    <w:rsid w:val="00674B9A"/>
    <w:rsid w:val="006B48FE"/>
    <w:rsid w:val="007A7496"/>
    <w:rsid w:val="007D63D7"/>
    <w:rsid w:val="008042BA"/>
    <w:rsid w:val="00812A13"/>
    <w:rsid w:val="0081415B"/>
    <w:rsid w:val="0090355A"/>
    <w:rsid w:val="0091160A"/>
    <w:rsid w:val="00937626"/>
    <w:rsid w:val="00941FD1"/>
    <w:rsid w:val="0094255E"/>
    <w:rsid w:val="00952A6A"/>
    <w:rsid w:val="009551D4"/>
    <w:rsid w:val="009A4635"/>
    <w:rsid w:val="00A4306E"/>
    <w:rsid w:val="00A73264"/>
    <w:rsid w:val="00AA0AF5"/>
    <w:rsid w:val="00B064AE"/>
    <w:rsid w:val="00BC0B78"/>
    <w:rsid w:val="00C36B2C"/>
    <w:rsid w:val="00C841C2"/>
    <w:rsid w:val="00CD6C92"/>
    <w:rsid w:val="00CE1FFF"/>
    <w:rsid w:val="00CF47BD"/>
    <w:rsid w:val="00D01E1E"/>
    <w:rsid w:val="00E86031"/>
    <w:rsid w:val="00E96A96"/>
    <w:rsid w:val="00EA11B8"/>
    <w:rsid w:val="00EF47A6"/>
    <w:rsid w:val="00F13B51"/>
    <w:rsid w:val="00F6478E"/>
    <w:rsid w:val="00FB4BA7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81CF"/>
  <w15:chartTrackingRefBased/>
  <w15:docId w15:val="{BC008F3F-9734-4034-9D76-F20986A3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8E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Arial"/>
    <w:basedOn w:val="TableNormal"/>
    <w:rsid w:val="0065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08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651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08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08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5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55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C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32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2EF524417429D8FE39BD24BA306" ma:contentTypeVersion="18" ma:contentTypeDescription="Create a new document." ma:contentTypeScope="" ma:versionID="87775069c087dc5d6d304eaa624a5b45">
  <xsd:schema xmlns:xsd="http://www.w3.org/2001/XMLSchema" xmlns:xs="http://www.w3.org/2001/XMLSchema" xmlns:p="http://schemas.microsoft.com/office/2006/metadata/properties" xmlns:ns2="e78cdbbc-c0fb-49c5-a759-1d20a53f2073" xmlns:ns3="d1e0c11c-5dc2-47c4-8759-212542bab8f5" targetNamespace="http://schemas.microsoft.com/office/2006/metadata/properties" ma:root="true" ma:fieldsID="4294acb8c4b0d7d25ae97bdf36b7891b" ns2:_="" ns3:_="">
    <xsd:import namespace="e78cdbbc-c0fb-49c5-a759-1d20a53f2073"/>
    <xsd:import namespace="d1e0c11c-5dc2-47c4-8759-212542bab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cdbbc-c0fb-49c5-a759-1d20a53f2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c11c-5dc2-47c4-8759-212542bab8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ec8c70-bc80-45d5-8602-0f0182602305}" ma:internalName="TaxCatchAll" ma:showField="CatchAllData" ma:web="d1e0c11c-5dc2-47c4-8759-212542bab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0c11c-5dc2-47c4-8759-212542bab8f5" xsi:nil="true"/>
    <lcf76f155ced4ddcb4097134ff3c332f xmlns="e78cdbbc-c0fb-49c5-a759-1d20a53f2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86EFA8-87C1-414F-BB39-2E3E776BCB24}"/>
</file>

<file path=customXml/itemProps2.xml><?xml version="1.0" encoding="utf-8"?>
<ds:datastoreItem xmlns:ds="http://schemas.openxmlformats.org/officeDocument/2006/customXml" ds:itemID="{F3DB0524-8EE8-4C8A-AE07-CD35775ED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5268C-BA15-4F4C-BD9F-3CDD0E66077C}">
  <ds:schemaRefs>
    <ds:schemaRef ds:uri="http://schemas.microsoft.com/office/2006/metadata/properties"/>
    <ds:schemaRef ds:uri="http://schemas.microsoft.com/office/infopath/2007/PartnerControls"/>
    <ds:schemaRef ds:uri="ce2f8b45-f248-4736-9c52-569788252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Hall</dc:creator>
  <cp:keywords/>
  <dc:description/>
  <cp:lastModifiedBy>Jan Glaze</cp:lastModifiedBy>
  <cp:revision>2</cp:revision>
  <cp:lastPrinted>2023-10-02T12:07:00Z</cp:lastPrinted>
  <dcterms:created xsi:type="dcterms:W3CDTF">2024-04-10T14:03:00Z</dcterms:created>
  <dcterms:modified xsi:type="dcterms:W3CDTF">2024-04-10T14:03:00Z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0x010100EBB9B317664B914591F5974E40EB6B7A</vt:lpwstr>
  </property>
</Properties>
</file>